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A9BF" w14:textId="2F77DB73" w:rsidR="009B24B1" w:rsidRPr="009B24B1" w:rsidRDefault="00EE3D71" w:rsidP="009B24B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2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Н.Н.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B24B1" w:rsidRPr="009B2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Бедина</w:t>
      </w:r>
      <w:proofErr w:type="spellEnd"/>
      <w:r w:rsidR="009B24B1" w:rsidRPr="009B2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7B1E677" w14:textId="77777777" w:rsidR="009B24B1" w:rsidRPr="009B24B1" w:rsidRDefault="009B24B1" w:rsidP="009B24B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B24B1">
        <w:rPr>
          <w:rFonts w:ascii="Times New Roman" w:hAnsi="Times New Roman" w:cs="Times New Roman"/>
          <w:i/>
          <w:iCs/>
          <w:sz w:val="24"/>
          <w:szCs w:val="24"/>
        </w:rPr>
        <w:t>Кандидат филологических наук, доцент, профессор кафедры культурологии и религиоведения Северного (Арктического) федерального университета имени М.В. Ломоносова (Архангельск)</w:t>
      </w:r>
    </w:p>
    <w:bookmarkStart w:id="1" w:name="_Hlk63951900"/>
    <w:p w14:paraId="5EE35A97" w14:textId="77777777" w:rsidR="009B24B1" w:rsidRDefault="009B24B1" w:rsidP="009B24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"mailto:bedina-nat@yandex.ru" </w:instrText>
      </w:r>
      <w:r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</w:rPr>
        <w:t>bedina-nat@yandex.ru</w:t>
      </w:r>
      <w:r>
        <w:fldChar w:fldCharType="end"/>
      </w:r>
    </w:p>
    <w:bookmarkEnd w:id="1"/>
    <w:p w14:paraId="76644758" w14:textId="77777777" w:rsidR="00EE3D71" w:rsidRDefault="009B24B1" w:rsidP="009B24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4B1">
        <w:rPr>
          <w:rFonts w:ascii="Times New Roman" w:hAnsi="Times New Roman" w:cs="Times New Roman"/>
          <w:b/>
          <w:bCs/>
          <w:sz w:val="24"/>
          <w:szCs w:val="24"/>
        </w:rPr>
        <w:t xml:space="preserve">Познание Другого как </w:t>
      </w:r>
      <w:proofErr w:type="spellStart"/>
      <w:r w:rsidRPr="009B24B1">
        <w:rPr>
          <w:rFonts w:ascii="Times New Roman" w:hAnsi="Times New Roman" w:cs="Times New Roman"/>
          <w:b/>
          <w:bCs/>
          <w:sz w:val="24"/>
          <w:szCs w:val="24"/>
        </w:rPr>
        <w:t>сотериологическая</w:t>
      </w:r>
      <w:proofErr w:type="spellEnd"/>
      <w:r w:rsidRPr="009B24B1">
        <w:rPr>
          <w:rFonts w:ascii="Times New Roman" w:hAnsi="Times New Roman" w:cs="Times New Roman"/>
          <w:b/>
          <w:bCs/>
          <w:sz w:val="24"/>
          <w:szCs w:val="24"/>
        </w:rPr>
        <w:t xml:space="preserve"> проблема в повести Н.С. Лескова</w:t>
      </w:r>
      <w:r w:rsidR="00EE3D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22C2EE" w14:textId="7BE7603F" w:rsidR="009B24B1" w:rsidRDefault="009B24B1" w:rsidP="009B24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4B1">
        <w:rPr>
          <w:rFonts w:ascii="Times New Roman" w:hAnsi="Times New Roman" w:cs="Times New Roman"/>
          <w:b/>
          <w:bCs/>
          <w:sz w:val="24"/>
          <w:szCs w:val="24"/>
        </w:rPr>
        <w:t>«На краю света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99CECD7" w14:textId="77777777" w:rsidR="009B24B1" w:rsidRPr="009B24B1" w:rsidRDefault="009B24B1" w:rsidP="009B24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6DFC8" w14:textId="77777777" w:rsidR="009B24B1" w:rsidRPr="009B24B1" w:rsidRDefault="009B24B1" w:rsidP="009B2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B1">
        <w:rPr>
          <w:rFonts w:ascii="Times New Roman" w:hAnsi="Times New Roman" w:cs="Times New Roman"/>
          <w:sz w:val="24"/>
          <w:szCs w:val="24"/>
        </w:rPr>
        <w:t>Повесть Н.С. Лескова «На краю света» (1876) начинается с диалога в доме престарелого православного архиепископа, от лица которого пойдет в дальнейшем основное повествование. Содержательным стержнем вводной главы является не столько противопоставление различных миссионерских традиций, как представляется на первый взгляд, сколько сопоставление двух форм познания, воплощенных в оппозиции «спор / беседа»: «От спора мы воздержимся, а беседовать — давайте».</w:t>
      </w:r>
    </w:p>
    <w:p w14:paraId="1833AFE2" w14:textId="77777777" w:rsidR="009B24B1" w:rsidRPr="009B24B1" w:rsidRDefault="009B24B1" w:rsidP="009B24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4B1">
        <w:rPr>
          <w:rFonts w:ascii="Times New Roman" w:hAnsi="Times New Roman" w:cs="Times New Roman"/>
          <w:sz w:val="24"/>
          <w:szCs w:val="24"/>
        </w:rPr>
        <w:t xml:space="preserve">В центральной части повести архиерей повествует о личном опыте миссионерства среди якутов и тунгусов в Северо-Восточной Сибири. Оппозиция спора как противостояния и беседы как способности слышать собеседника и здесь составляет основу сюжета рассказа владыки. Его «беседы» с отцом </w:t>
      </w:r>
      <w:proofErr w:type="spellStart"/>
      <w:r w:rsidRPr="009B24B1">
        <w:rPr>
          <w:rFonts w:ascii="Times New Roman" w:hAnsi="Times New Roman" w:cs="Times New Roman"/>
          <w:sz w:val="24"/>
          <w:szCs w:val="24"/>
        </w:rPr>
        <w:t>Кириаком</w:t>
      </w:r>
      <w:proofErr w:type="spellEnd"/>
      <w:r w:rsidRPr="009B24B1">
        <w:rPr>
          <w:rFonts w:ascii="Times New Roman" w:hAnsi="Times New Roman" w:cs="Times New Roman"/>
          <w:sz w:val="24"/>
          <w:szCs w:val="24"/>
        </w:rPr>
        <w:t xml:space="preserve"> и с тунгусом-проводником составляют основное содержание повести о «чудесном» прозрении архиерея в ледяной пустыне тундры и его приятии Другого в </w:t>
      </w:r>
      <w:r w:rsidRPr="009B24B1">
        <w:rPr>
          <w:rFonts w:ascii="Times New Roman" w:hAnsi="Times New Roman" w:cs="Times New Roman"/>
          <w:color w:val="000000"/>
          <w:sz w:val="24"/>
          <w:szCs w:val="24"/>
        </w:rPr>
        <w:t>некрещёном «</w:t>
      </w:r>
      <w:proofErr w:type="spellStart"/>
      <w:r w:rsidRPr="009B24B1">
        <w:rPr>
          <w:rFonts w:ascii="Times New Roman" w:hAnsi="Times New Roman" w:cs="Times New Roman"/>
          <w:color w:val="000000"/>
          <w:sz w:val="24"/>
          <w:szCs w:val="24"/>
        </w:rPr>
        <w:t>темняке</w:t>
      </w:r>
      <w:proofErr w:type="spellEnd"/>
      <w:r w:rsidRPr="009B24B1">
        <w:rPr>
          <w:rFonts w:ascii="Times New Roman" w:hAnsi="Times New Roman" w:cs="Times New Roman"/>
          <w:color w:val="000000"/>
          <w:sz w:val="24"/>
          <w:szCs w:val="24"/>
        </w:rPr>
        <w:t>» тунгусе.</w:t>
      </w:r>
    </w:p>
    <w:p w14:paraId="11EF3BBC" w14:textId="77777777" w:rsidR="009B24B1" w:rsidRPr="009B24B1" w:rsidRDefault="009B24B1" w:rsidP="009B24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24B1">
        <w:rPr>
          <w:rFonts w:ascii="Times New Roman" w:hAnsi="Times New Roman" w:cs="Times New Roman"/>
          <w:sz w:val="24"/>
          <w:szCs w:val="24"/>
        </w:rPr>
        <w:t>Первое описание «смердящего дикаря» у Лескова вписано в логику средневековой троичной концепции человеческой природы (ум, слово и дух), которая характеризует природу человека как творения по образу и подобию Божию. Образ «</w:t>
      </w:r>
      <w:proofErr w:type="spellStart"/>
      <w:r w:rsidRPr="009B24B1">
        <w:rPr>
          <w:rFonts w:ascii="Times New Roman" w:hAnsi="Times New Roman" w:cs="Times New Roman"/>
          <w:sz w:val="24"/>
          <w:szCs w:val="24"/>
        </w:rPr>
        <w:t>темняка</w:t>
      </w:r>
      <w:proofErr w:type="spellEnd"/>
      <w:r w:rsidRPr="009B24B1">
        <w:rPr>
          <w:rFonts w:ascii="Times New Roman" w:hAnsi="Times New Roman" w:cs="Times New Roman"/>
          <w:sz w:val="24"/>
          <w:szCs w:val="24"/>
        </w:rPr>
        <w:t>» строится на отрицательном определении именно этих качеств: и ум в глазах не блеснет, и слово убого, и дух смердящий:</w:t>
      </w:r>
      <w:r w:rsidRPr="009B24B1">
        <w:rPr>
          <w:rFonts w:ascii="Times New Roman" w:hAnsi="Times New Roman" w:cs="Times New Roman"/>
          <w:color w:val="000000"/>
          <w:sz w:val="24"/>
          <w:szCs w:val="24"/>
        </w:rPr>
        <w:t xml:space="preserve"> «рожа обмылком – ничего не выражает; в гляделках, которые стыд глазами назвать, – ни в одном ни искры душевного света; самые звуки слов, выходящих из его гортани, какие-то мёртвые: в горе ли, в радости всё одно произношение, вялое и бесстрастное, — половину слова где-то в глотке выговорит, половину в зубах сожмет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9B24B1">
        <w:rPr>
          <w:rFonts w:ascii="Times New Roman" w:hAnsi="Times New Roman" w:cs="Times New Roman"/>
          <w:color w:val="000000"/>
          <w:sz w:val="24"/>
          <w:szCs w:val="24"/>
        </w:rPr>
        <w:t xml:space="preserve"> Тунгус в глазах архиерея как бы не-человек (анти-человек), поэтому не случайно описание проводника заканчивается жестоким размышлением рассказчика о неизбежно необходимом, с точки зрения европейца, вымирании коренного населения Севера.</w:t>
      </w:r>
    </w:p>
    <w:p w14:paraId="21D34B7A" w14:textId="77777777" w:rsidR="009B24B1" w:rsidRPr="009B24B1" w:rsidRDefault="009B24B1" w:rsidP="009B24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4B1">
        <w:rPr>
          <w:rFonts w:ascii="Times New Roman" w:hAnsi="Times New Roman" w:cs="Times New Roman"/>
          <w:sz w:val="24"/>
          <w:szCs w:val="24"/>
        </w:rPr>
        <w:t xml:space="preserve">Однако на самом деле «четверодневным Лазарем» оказывается сам архиерей: испытание символической смертью в снежной пустыне приводит героя к преображению и просвещению светом Христовой любви к человеку. Спасающий его «дикарь» и он сам теперь увидены героем в подлинной сути: язычник (темный и смрадный), но готовый жизнь </w:t>
      </w:r>
      <w:r w:rsidRPr="009B24B1">
        <w:rPr>
          <w:rFonts w:ascii="Times New Roman" w:hAnsi="Times New Roman" w:cs="Times New Roman"/>
          <w:sz w:val="24"/>
          <w:szCs w:val="24"/>
        </w:rPr>
        <w:lastRenderedPageBreak/>
        <w:t>положить за ближнего своего, предстает перед архиереем осиянный аки Божественным светом.</w:t>
      </w:r>
      <w:r w:rsidRPr="009B24B1">
        <w:rPr>
          <w:rFonts w:ascii="Times New Roman" w:hAnsi="Times New Roman" w:cs="Times New Roman"/>
          <w:color w:val="000000"/>
          <w:sz w:val="24"/>
          <w:szCs w:val="24"/>
        </w:rPr>
        <w:t xml:space="preserve"> Несловесная («неизглаголанная») беседа христианина и язычника, составляющая кульминацию повести, это воплощение идеала любви к иному без унижения своего, преображения человеческого духа через способность услышать Другого.</w:t>
      </w:r>
    </w:p>
    <w:p w14:paraId="4203594B" w14:textId="77777777" w:rsidR="009B24B1" w:rsidRPr="009B24B1" w:rsidRDefault="009B24B1" w:rsidP="009B24B1">
      <w:pPr>
        <w:jc w:val="both"/>
        <w:rPr>
          <w:sz w:val="24"/>
          <w:szCs w:val="24"/>
        </w:rPr>
      </w:pPr>
    </w:p>
    <w:sectPr w:rsidR="009B24B1" w:rsidRPr="009B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392C9" w14:textId="77777777" w:rsidR="009B24B1" w:rsidRDefault="009B24B1" w:rsidP="009B24B1">
      <w:pPr>
        <w:spacing w:after="0" w:line="240" w:lineRule="auto"/>
      </w:pPr>
      <w:r>
        <w:separator/>
      </w:r>
    </w:p>
  </w:endnote>
  <w:endnote w:type="continuationSeparator" w:id="0">
    <w:p w14:paraId="2B44DFD8" w14:textId="77777777" w:rsidR="009B24B1" w:rsidRDefault="009B24B1" w:rsidP="009B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56126" w14:textId="77777777" w:rsidR="009B24B1" w:rsidRDefault="009B24B1" w:rsidP="009B24B1">
      <w:pPr>
        <w:spacing w:after="0" w:line="240" w:lineRule="auto"/>
      </w:pPr>
      <w:r>
        <w:separator/>
      </w:r>
    </w:p>
  </w:footnote>
  <w:footnote w:type="continuationSeparator" w:id="0">
    <w:p w14:paraId="6AA4441C" w14:textId="77777777" w:rsidR="009B24B1" w:rsidRDefault="009B24B1" w:rsidP="009B2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B1"/>
    <w:rsid w:val="009B24B1"/>
    <w:rsid w:val="00E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BEF6"/>
  <w15:chartTrackingRefBased/>
  <w15:docId w15:val="{6B6DBFDE-0550-445D-B076-A912614F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4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4B1"/>
    <w:rPr>
      <w:color w:val="0563C1" w:themeColor="hyperlink"/>
      <w:u w:val="single"/>
    </w:rPr>
  </w:style>
  <w:style w:type="paragraph" w:styleId="a4">
    <w:name w:val="footnote text"/>
    <w:basedOn w:val="a"/>
    <w:link w:val="a5"/>
    <w:semiHidden/>
    <w:rsid w:val="009B2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B2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B24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2021-02-12T08:41:00Z</dcterms:created>
  <dcterms:modified xsi:type="dcterms:W3CDTF">2021-03-02T07:28:00Z</dcterms:modified>
</cp:coreProperties>
</file>